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pPr>
    </w:p>
    <w:p>
      <w:pPr>
        <w:jc w:val="center"/>
      </w:pPr>
      <w:r>
        <w:rPr>
          <w:rFonts w:ascii="Arial" w:cs="Arial" w:eastAsia="Arial" w:hAnsi="Arial"/>
          <w:b/>
          <w:bCs/>
          <w:color w:val="B8962E"/>
          <w:sz w:val="52"/>
          <w:szCs w:val="52"/>
        </w:rPr>
        <w:t xml:space="preserve">LEGACY WEALTH REALTY LLC</w:t>
      </w:r>
    </w:p>
    <w:p>
      <w:pPr>
        <w:spacing w:after="80" w:before="80"/>
        <w:jc w:val="center"/>
      </w:pPr>
      <w:r>
        <w:rPr>
          <w:rFonts w:ascii="Arial" w:cs="Arial" w:eastAsia="Arial" w:hAnsi="Arial"/>
          <w:b/>
          <w:bCs/>
          <w:color w:val="1A1A1A"/>
          <w:sz w:val="32"/>
          <w:szCs w:val="32"/>
        </w:rPr>
        <w:t xml:space="preserve">Independent Contractor Agreement</w:t>
      </w:r>
    </w:p>
    <w:p>
      <w:pPr>
        <w:spacing w:after="300" w:before="60"/>
        <w:jc w:val="center"/>
      </w:pPr>
      <w:r>
        <w:rPr>
          <w:rFonts w:ascii="Arial" w:cs="Arial" w:eastAsia="Arial" w:hAnsi="Arial"/>
          <w:i/>
          <w:iCs/>
          <w:color w:val="555555"/>
          <w:sz w:val="22"/>
          <w:szCs w:val="22"/>
        </w:rPr>
        <w:t xml:space="preserve">Texas Real Estate Sales Associate</w:t>
      </w:r>
    </w:p>
    <w:p>
      <w:pPr>
        <w:pBdr>
          <w:bottom w:val="single" w:color="B8962E" w:sz="6" w:space="1"/>
        </w:pBdr>
        <w:spacing w:after="120" w:before="120"/>
      </w:pPr>
    </w:p>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tcPr>
          <w:p>
            <w:r>
              <w:rPr>
                <w:rFonts w:ascii="Arial" w:cs="Arial" w:eastAsia="Arial" w:hAnsi="Arial"/>
                <w:b/>
                <w:bCs/>
                <w:sz w:val="20"/>
                <w:szCs w:val="20"/>
              </w:rPr>
              <w:t xml:space="preserve">Date:</w:t>
            </w:r>
          </w:p>
          <w:p>
            <w:pPr>
              <w:pBdr>
                <w:bottom w:val="single" w:color="999999" w:sz="4"/>
              </w:pBdr>
              <w:spacing w:before="200"/>
            </w:pPr>
            <w:r>
              <w:rPr>
                <w:rFonts w:ascii="Arial" w:cs="Arial" w:eastAsia="Arial" w:hAnsi="Arial"/>
                <w:sz w:val="20"/>
                <w:szCs w:val="20"/>
              </w:rPr>
              <w:t xml:space="preserve">                                        </w:t>
            </w:r>
          </w:p>
          <w:p>
            <w:pPr>
              <w:spacing w:before="40"/>
            </w:pPr>
            <w:r>
              <w:rPr>
                <w:rFonts w:ascii="Arial" w:cs="Arial" w:eastAsia="Arial" w:hAnsi="Arial"/>
                <w:i/>
                <w:iCs/>
                <w:color w:val="555555"/>
                <w:sz w:val="16"/>
                <w:szCs w:val="16"/>
              </w:rPr>
              <w:t xml:space="preserve">Effective Date</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tcPr>
          <w:p>
            <w:r>
              <w:rPr>
                <w:rFonts w:ascii="Arial" w:cs="Arial" w:eastAsia="Arial" w:hAnsi="Arial"/>
                <w:b/>
                <w:bCs/>
                <w:sz w:val="20"/>
                <w:szCs w:val="20"/>
              </w:rPr>
              <w:t xml:space="preserve">TREC License #:</w:t>
            </w:r>
          </w:p>
          <w:p>
            <w:pPr>
              <w:pBdr>
                <w:bottom w:val="single" w:color="999999" w:sz="4"/>
              </w:pBdr>
              <w:spacing w:before="200"/>
            </w:pPr>
            <w:r>
              <w:rPr>
                <w:rFonts w:ascii="Arial" w:cs="Arial" w:eastAsia="Arial" w:hAnsi="Arial"/>
                <w:sz w:val="20"/>
                <w:szCs w:val="20"/>
              </w:rPr>
              <w:t xml:space="preserve">                                        </w:t>
            </w:r>
          </w:p>
          <w:p>
            <w:pPr>
              <w:spacing w:before="40"/>
            </w:pPr>
            <w:r>
              <w:rPr>
                <w:rFonts w:ascii="Arial" w:cs="Arial" w:eastAsia="Arial" w:hAnsi="Arial"/>
                <w:i/>
                <w:iCs/>
                <w:color w:val="555555"/>
                <w:sz w:val="16"/>
                <w:szCs w:val="16"/>
              </w:rPr>
              <w:t xml:space="preserve">Agent TREC License Number</w:t>
            </w:r>
          </w:p>
        </w:tc>
      </w:tr>
    </w:tbl>
    <w:p>
      <w:pPr>
        <w:spacing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tcPr>
          <w:p>
            <w:r>
              <w:rPr>
                <w:rFonts w:ascii="Arial" w:cs="Arial" w:eastAsia="Arial" w:hAnsi="Arial"/>
                <w:b/>
                <w:bCs/>
                <w:sz w:val="20"/>
                <w:szCs w:val="20"/>
              </w:rPr>
              <w:t xml:space="preserve">Agent Legal Name:</w:t>
            </w:r>
          </w:p>
          <w:p>
            <w:pPr>
              <w:pBdr>
                <w:bottom w:val="single" w:color="999999" w:sz="4"/>
              </w:pBdr>
              <w:spacing w:before="200"/>
            </w:pPr>
            <w:r>
              <w:rPr>
                <w:rFonts w:ascii="Arial" w:cs="Arial" w:eastAsia="Arial" w:hAnsi="Arial"/>
                <w:sz w:val="20"/>
                <w:szCs w:val="20"/>
              </w:rPr>
              <w:t xml:space="preserve">                                        </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tcPr>
          <w:p>
            <w:r>
              <w:rPr>
                <w:rFonts w:ascii="Arial" w:cs="Arial" w:eastAsia="Arial" w:hAnsi="Arial"/>
                <w:b/>
                <w:bCs/>
                <w:sz w:val="20"/>
                <w:szCs w:val="20"/>
              </w:rPr>
              <w:t xml:space="preserve">Phone / Email:</w:t>
            </w:r>
          </w:p>
          <w:p>
            <w:pPr>
              <w:pBdr>
                <w:bottom w:val="single" w:color="999999" w:sz="4"/>
              </w:pBdr>
              <w:spacing w:before="200"/>
            </w:pPr>
            <w:r>
              <w:rPr>
                <w:rFonts w:ascii="Arial" w:cs="Arial" w:eastAsia="Arial" w:hAnsi="Arial"/>
                <w:sz w:val="20"/>
                <w:szCs w:val="20"/>
              </w:rPr>
              <w:t xml:space="preserve">                                        </w:t>
            </w:r>
          </w:p>
        </w:tc>
      </w:tr>
    </w:tbl>
    <w:p>
      <w:pPr>
        <w:spacing w:before="240"/>
      </w:pPr>
      <w:r>
        <w:br w:type="page"/>
      </w:r>
    </w:p>
    <w:p>
      <w:pPr>
        <w:spacing w:after="120" w:before="300"/>
      </w:pPr>
      <w:r>
        <w:rPr>
          <w:rFonts w:ascii="Arial" w:cs="Arial" w:eastAsia="Arial" w:hAnsi="Arial"/>
          <w:b/>
          <w:bCs/>
          <w:color w:val="B8962E"/>
          <w:sz w:val="28"/>
          <w:szCs w:val="28"/>
        </w:rPr>
        <w:t xml:space="preserve">1. PARTIES</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This Independent Contractor Agreement ("Agreement") is entered into between Legacy Wealth Realty LLC, a Texas limited liability company, TREC Broker License #[BROKER_LICENSE], with its principal place of business in Dallas, Texas ("Broker"), and the licensed real estate agent identified on the cover page ("Agent").</w:t>
      </w:r>
    </w:p>
    <w:p>
      <w:pPr>
        <w:spacing w:after="80" w:before="60"/>
        <w:jc w:val="both"/>
      </w:pPr>
      <w:r>
        <w:rPr>
          <w:rFonts w:ascii="Arial" w:cs="Arial" w:eastAsia="Arial" w:hAnsi="Arial"/>
          <w:b w:val="false"/>
          <w:bCs w:val="false"/>
          <w:i w:val="false"/>
          <w:iCs w:val="false"/>
          <w:color w:val="1A1A1A"/>
          <w:sz w:val="20"/>
          <w:szCs w:val="20"/>
        </w:rPr>
        <w:t xml:space="preserve">The parties agree that Agent is an independent contractor and not an employee, partner, or agent of Broker for any purpose other than those expressly stated herein. Nothing in this Agreement shall be construed to create an employer-employee relationship.</w:t>
      </w:r>
    </w:p>
    <w:p>
      <w:pPr>
        <w:spacing w:after="120" w:before="300"/>
      </w:pPr>
      <w:r>
        <w:rPr>
          <w:rFonts w:ascii="Arial" w:cs="Arial" w:eastAsia="Arial" w:hAnsi="Arial"/>
          <w:b/>
          <w:bCs/>
          <w:color w:val="B8962E"/>
          <w:sz w:val="28"/>
          <w:szCs w:val="28"/>
        </w:rPr>
        <w:t xml:space="preserve">2. TERM &amp; TERMINATION</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This Agreement commences on the Effective Date and continues on an at-will basis until terminated by either party. Either party may terminate this Agreement at any time with thirty (30) days written notice, or immediately for cause.</w:t>
      </w:r>
    </w:p>
    <w:p>
      <w:pPr>
        <w:spacing w:after="80" w:before="60"/>
        <w:jc w:val="both"/>
      </w:pPr>
      <w:r>
        <w:rPr>
          <w:rFonts w:ascii="Arial" w:cs="Arial" w:eastAsia="Arial" w:hAnsi="Arial"/>
          <w:b w:val="false"/>
          <w:bCs w:val="false"/>
          <w:i w:val="false"/>
          <w:iCs w:val="false"/>
          <w:color w:val="1A1A1A"/>
          <w:sz w:val="20"/>
          <w:szCs w:val="20"/>
        </w:rPr>
        <w:t xml:space="preserve">"For cause" includes, but is not limited to: (a) violation of TREC rules or Texas real estate law; (b) material breach of this Agreement; (c) fraud, misrepresentation, or criminal conviction; (d) failure to maintain active TREC licensure or required E&amp;O insurance; (e) conduct harmful to the reputation or interests of Broker.</w:t>
      </w:r>
    </w:p>
    <w:p>
      <w:pPr>
        <w:spacing w:after="80" w:before="60"/>
        <w:jc w:val="both"/>
      </w:pPr>
      <w:r>
        <w:rPr>
          <w:rFonts w:ascii="Arial" w:cs="Arial" w:eastAsia="Arial" w:hAnsi="Arial"/>
          <w:b w:val="false"/>
          <w:bCs w:val="false"/>
          <w:i w:val="false"/>
          <w:iCs w:val="false"/>
          <w:color w:val="1A1A1A"/>
          <w:sz w:val="20"/>
          <w:szCs w:val="20"/>
        </w:rPr>
        <w:t xml:space="preserve">Upon termination, Agent shall: (i) immediately cease representing Broker; (ii) transfer all active client files and pending transaction documents to Broker; (iii) return all Broker proprietary materials; and (iv) cooperate in the transition of any pending transactions. Commissions earned on closed transactions prior to termination shall be paid per Section 4.</w:t>
      </w:r>
    </w:p>
    <w:p>
      <w:pPr>
        <w:spacing w:after="120" w:before="300"/>
      </w:pPr>
      <w:r>
        <w:rPr>
          <w:rFonts w:ascii="Arial" w:cs="Arial" w:eastAsia="Arial" w:hAnsi="Arial"/>
          <w:b/>
          <w:bCs/>
          <w:color w:val="B8962E"/>
          <w:sz w:val="28"/>
          <w:szCs w:val="28"/>
        </w:rPr>
        <w:t xml:space="preserve">3. LICENSURE &amp; COMPLIANCE</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Agent represents and warrants at all times during this Agreement:</w:t>
      </w:r>
    </w:p>
    <w:p>
      <w:pPr>
        <w:pStyle w:val="ListParagraph"/>
        <w:numPr>
          <w:ilvl w:val="0"/>
          <w:numId w:val="2"/>
        </w:numPr>
        <w:spacing w:after="40" w:before="40"/>
      </w:pPr>
      <w:r>
        <w:rPr>
          <w:rFonts w:ascii="Arial" w:cs="Arial" w:eastAsia="Arial" w:hAnsi="Arial"/>
          <w:color w:val="1A1A1A"/>
          <w:sz w:val="20"/>
          <w:szCs w:val="20"/>
        </w:rPr>
        <w:t xml:space="preserve">Agent holds a current, active Texas real estate sales agent license in good standing with TREC.</w:t>
      </w:r>
    </w:p>
    <w:p>
      <w:pPr>
        <w:pStyle w:val="ListParagraph"/>
        <w:numPr>
          <w:ilvl w:val="0"/>
          <w:numId w:val="2"/>
        </w:numPr>
        <w:spacing w:after="40" w:before="40"/>
      </w:pPr>
      <w:r>
        <w:rPr>
          <w:rFonts w:ascii="Arial" w:cs="Arial" w:eastAsia="Arial" w:hAnsi="Arial"/>
          <w:color w:val="1A1A1A"/>
          <w:sz w:val="20"/>
          <w:szCs w:val="20"/>
        </w:rPr>
        <w:t xml:space="preserve">Agent will maintain licensure under Broker and immediately notify Broker of any license suspension, revocation, complaint, or investigation.</w:t>
      </w:r>
    </w:p>
    <w:p>
      <w:pPr>
        <w:pStyle w:val="ListParagraph"/>
        <w:numPr>
          <w:ilvl w:val="0"/>
          <w:numId w:val="2"/>
        </w:numPr>
        <w:spacing w:after="40" w:before="40"/>
      </w:pPr>
      <w:r>
        <w:rPr>
          <w:rFonts w:ascii="Arial" w:cs="Arial" w:eastAsia="Arial" w:hAnsi="Arial"/>
          <w:color w:val="1A1A1A"/>
          <w:sz w:val="20"/>
          <w:szCs w:val="20"/>
        </w:rPr>
        <w:t xml:space="preserve">Agent will comply with all applicable federal and state laws, TREC rules and regulations, NAR Code of Ethics (if applicable), MLS rules, and Broker policies as amended from time to time.</w:t>
      </w:r>
    </w:p>
    <w:p>
      <w:pPr>
        <w:pStyle w:val="ListParagraph"/>
        <w:numPr>
          <w:ilvl w:val="0"/>
          <w:numId w:val="2"/>
        </w:numPr>
        <w:spacing w:after="40" w:before="40"/>
      </w:pPr>
      <w:r>
        <w:rPr>
          <w:rFonts w:ascii="Arial" w:cs="Arial" w:eastAsia="Arial" w:hAnsi="Arial"/>
          <w:color w:val="1A1A1A"/>
          <w:sz w:val="20"/>
          <w:szCs w:val="20"/>
        </w:rPr>
        <w:t xml:space="preserve">Agent will complete all TREC-required continuing education and renewal requirements timely.</w:t>
      </w:r>
    </w:p>
    <w:p>
      <w:pPr>
        <w:pStyle w:val="ListParagraph"/>
        <w:numPr>
          <w:ilvl w:val="0"/>
          <w:numId w:val="2"/>
        </w:numPr>
        <w:spacing w:after="40" w:before="40"/>
      </w:pPr>
      <w:r>
        <w:rPr>
          <w:rFonts w:ascii="Arial" w:cs="Arial" w:eastAsia="Arial" w:hAnsi="Arial"/>
          <w:color w:val="1A1A1A"/>
          <w:sz w:val="20"/>
          <w:szCs w:val="20"/>
        </w:rPr>
        <w:t xml:space="preserve">Agent will not engage in any real estate activity requiring a license outside the scope of this Agreement without prior written consent of Broker.</w:t>
      </w:r>
    </w:p>
    <w:p>
      <w:pPr>
        <w:spacing w:after="120" w:before="300"/>
      </w:pPr>
      <w:r>
        <w:rPr>
          <w:rFonts w:ascii="Arial" w:cs="Arial" w:eastAsia="Arial" w:hAnsi="Arial"/>
          <w:b/>
          <w:bCs/>
          <w:color w:val="B8962E"/>
          <w:sz w:val="28"/>
          <w:szCs w:val="28"/>
        </w:rPr>
        <w:t xml:space="preserve">4. COMMISSION STRUCTURE &amp; FEES</w:t>
      </w:r>
    </w:p>
    <w:p>
      <w:pPr>
        <w:pBdr>
          <w:bottom w:val="single" w:color="B8962E" w:sz="6" w:space="1"/>
        </w:pBdr>
        <w:spacing w:after="120" w:before="120"/>
      </w:pPr>
    </w:p>
    <w:p>
      <w:pPr>
        <w:spacing w:after="80" w:before="60"/>
        <w:jc w:val="both"/>
      </w:pPr>
      <w:r>
        <w:rPr>
          <w:rFonts w:ascii="Arial" w:cs="Arial" w:eastAsia="Arial" w:hAnsi="Arial"/>
          <w:b/>
          <w:bCs/>
          <w:i w:val="false"/>
          <w:iCs w:val="false"/>
          <w:color w:val="1A1A1A"/>
          <w:sz w:val="20"/>
          <w:szCs w:val="20"/>
        </w:rPr>
        <w:t xml:space="preserve">4.1  Commission Split</w:t>
      </w:r>
    </w:p>
    <w:p>
      <w:pPr>
        <w:spacing w:after="80" w:before="60"/>
        <w:jc w:val="both"/>
      </w:pPr>
      <w:r>
        <w:rPr>
          <w:rFonts w:ascii="Arial" w:cs="Arial" w:eastAsia="Arial" w:hAnsi="Arial"/>
          <w:b w:val="false"/>
          <w:bCs w:val="false"/>
          <w:i w:val="false"/>
          <w:iCs w:val="false"/>
          <w:color w:val="1A1A1A"/>
          <w:sz w:val="20"/>
          <w:szCs w:val="20"/>
        </w:rPr>
        <w:t xml:space="preserve">Agent shall retain eighty percent (80%) of gross commissions earned on transactions closed and funded during the term of this Agreement. Legacy Wealth Realty LLC retains twenty percent (20%) of gross commissions as the brokerage fee.</w:t>
      </w:r>
    </w:p>
    <w:p>
      <w:pPr>
        <w:spacing w:after="80" w:before="60"/>
        <w:jc w:val="both"/>
      </w:pPr>
      <w:r>
        <w:rPr>
          <w:rFonts w:ascii="Arial" w:cs="Arial" w:eastAsia="Arial" w:hAnsi="Arial"/>
          <w:b/>
          <w:bCs/>
          <w:i w:val="false"/>
          <w:iCs w:val="false"/>
          <w:color w:val="1A1A1A"/>
          <w:sz w:val="20"/>
          <w:szCs w:val="20"/>
        </w:rPr>
        <w:t xml:space="preserve">4.2  Transaction Coordination Fee</w:t>
      </w:r>
    </w:p>
    <w:p>
      <w:pPr>
        <w:spacing w:after="80" w:before="60"/>
        <w:jc w:val="both"/>
      </w:pPr>
      <w:r>
        <w:rPr>
          <w:rFonts w:ascii="Arial" w:cs="Arial" w:eastAsia="Arial" w:hAnsi="Arial"/>
          <w:b w:val="false"/>
          <w:bCs w:val="false"/>
          <w:i w:val="false"/>
          <w:iCs w:val="false"/>
          <w:color w:val="1A1A1A"/>
          <w:sz w:val="20"/>
          <w:szCs w:val="20"/>
        </w:rPr>
        <w:t xml:space="preserve">A Transaction Coordination (TC) fee of Three Hundred Ninety-Five Dollars ($395.00) shall be deducted from Agent's commission disbursement at each closing. This fee covers transaction compliance review, document management, deadline coordination, and MLS/broker system administration.</w:t>
      </w:r>
    </w:p>
    <w:p>
      <w:pPr>
        <w:spacing w:after="80" w:before="60"/>
        <w:jc w:val="both"/>
      </w:pPr>
      <w:r>
        <w:rPr>
          <w:rFonts w:ascii="Arial" w:cs="Arial" w:eastAsia="Arial" w:hAnsi="Arial"/>
          <w:b/>
          <w:bCs/>
          <w:i w:val="false"/>
          <w:iCs w:val="false"/>
          <w:color w:val="1A1A1A"/>
          <w:sz w:val="20"/>
          <w:szCs w:val="20"/>
        </w:rPr>
        <w:t xml:space="preserve">4.3  Errors &amp; Omissions Insurance</w:t>
      </w:r>
    </w:p>
    <w:p>
      <w:pPr>
        <w:spacing w:after="80" w:before="60"/>
        <w:jc w:val="both"/>
      </w:pPr>
      <w:r>
        <w:rPr>
          <w:rFonts w:ascii="Arial" w:cs="Arial" w:eastAsia="Arial" w:hAnsi="Arial"/>
          <w:b w:val="false"/>
          <w:bCs w:val="false"/>
          <w:i w:val="false"/>
          <w:iCs w:val="false"/>
          <w:color w:val="1A1A1A"/>
          <w:sz w:val="20"/>
          <w:szCs w:val="20"/>
        </w:rPr>
        <w:t xml:space="preserve">Agent is solely responsible for maintaining an active Errors &amp; Omissions (E&amp;O) insurance policy throughout the term of this Agreement. Agent's E&amp;O policy must carry minimum coverage of Five Hundred Thousand Dollars ($500,000) per occurrence and One Million Dollars ($1,000,000) aggregate. Agent shall provide Broker with a current Certificate of Insurance prior to activation and upon each policy renewal. Broker assumes no liability for any claims arising from Agent's professional conduct.</w:t>
      </w:r>
    </w:p>
    <w:p>
      <w:pPr>
        <w:spacing w:after="80" w:before="60"/>
        <w:jc w:val="both"/>
      </w:pPr>
      <w:r>
        <w:rPr>
          <w:rFonts w:ascii="Arial" w:cs="Arial" w:eastAsia="Arial" w:hAnsi="Arial"/>
          <w:b/>
          <w:bCs/>
          <w:i w:val="false"/>
          <w:iCs w:val="false"/>
          <w:color w:val="1A1A1A"/>
          <w:sz w:val="20"/>
          <w:szCs w:val="20"/>
        </w:rPr>
        <w:t xml:space="preserve">4.4  Commission Disbursement</w:t>
      </w:r>
    </w:p>
    <w:p>
      <w:pPr>
        <w:spacing w:after="80" w:before="60"/>
        <w:jc w:val="both"/>
      </w:pPr>
      <w:r>
        <w:rPr>
          <w:rFonts w:ascii="Arial" w:cs="Arial" w:eastAsia="Arial" w:hAnsi="Arial"/>
          <w:b w:val="false"/>
          <w:bCs w:val="false"/>
          <w:i w:val="false"/>
          <w:iCs w:val="false"/>
          <w:color w:val="1A1A1A"/>
          <w:sz w:val="20"/>
          <w:szCs w:val="20"/>
        </w:rPr>
        <w:t xml:space="preserve">Broker shall disburse Agent's commission within three (3) business days of receipt of funds from the closing/title company, net of the TC fee and Broker's 20% brokerage share. Agent may elect commission disbursement via:</w:t>
      </w:r>
    </w:p>
    <w:p>
      <w:pPr>
        <w:pStyle w:val="ListParagraph"/>
        <w:numPr>
          <w:ilvl w:val="0"/>
          <w:numId w:val="2"/>
        </w:numPr>
        <w:spacing w:after="40" w:before="40"/>
      </w:pPr>
      <w:r>
        <w:rPr>
          <w:rFonts w:ascii="Arial" w:cs="Arial" w:eastAsia="Arial" w:hAnsi="Arial"/>
          <w:color w:val="1A1A1A"/>
          <w:sz w:val="20"/>
          <w:szCs w:val="20"/>
        </w:rPr>
        <w:t xml:space="preserve">Standard ACH bank transfer to Agent's designated account (3–5 business days); or</w:t>
      </w:r>
    </w:p>
    <w:p>
      <w:pPr>
        <w:pStyle w:val="ListParagraph"/>
        <w:numPr>
          <w:ilvl w:val="0"/>
          <w:numId w:val="2"/>
        </w:numPr>
        <w:spacing w:after="40" w:before="40"/>
      </w:pPr>
      <w:r>
        <w:rPr>
          <w:rFonts w:ascii="Arial" w:cs="Arial" w:eastAsia="Arial" w:hAnsi="Arial"/>
          <w:color w:val="1A1A1A"/>
          <w:sz w:val="20"/>
          <w:szCs w:val="20"/>
        </w:rPr>
        <w:t xml:space="preserve">Relay Fast Pay — same-day commission advance via Agent's Relay business banking account, subject to Relay's applicable terms and fees.</w:t>
      </w:r>
    </w:p>
    <w:p>
      <w:pPr>
        <w:spacing w:after="80" w:before="60"/>
        <w:jc w:val="both"/>
      </w:pPr>
      <w:r>
        <w:rPr>
          <w:rFonts w:ascii="Arial" w:cs="Arial" w:eastAsia="Arial" w:hAnsi="Arial"/>
          <w:b w:val="false"/>
          <w:bCs w:val="false"/>
          <w:i w:val="false"/>
          <w:iCs w:val="false"/>
          <w:color w:val="1A1A1A"/>
          <w:sz w:val="20"/>
          <w:szCs w:val="20"/>
        </w:rPr>
        <w:t xml:space="preserve">Agent's disbursement election may be changed upon written notice to Broker. Broker is not responsible for Relay service availability or fees.</w:t>
      </w:r>
    </w:p>
    <w:p>
      <w:pPr>
        <w:spacing w:after="80" w:before="60"/>
        <w:jc w:val="both"/>
      </w:pPr>
      <w:r>
        <w:rPr>
          <w:rFonts w:ascii="Arial" w:cs="Arial" w:eastAsia="Arial" w:hAnsi="Arial"/>
          <w:b/>
          <w:bCs/>
          <w:i w:val="false"/>
          <w:iCs w:val="false"/>
          <w:color w:val="1A1A1A"/>
          <w:sz w:val="20"/>
          <w:szCs w:val="20"/>
        </w:rPr>
        <w:t xml:space="preserve">4.5  No Earned Commission Without Closing</w:t>
      </w:r>
    </w:p>
    <w:p>
      <w:pPr>
        <w:spacing w:after="80" w:before="60"/>
        <w:jc w:val="both"/>
      </w:pPr>
      <w:r>
        <w:rPr>
          <w:rFonts w:ascii="Arial" w:cs="Arial" w:eastAsia="Arial" w:hAnsi="Arial"/>
          <w:b w:val="false"/>
          <w:bCs w:val="false"/>
          <w:i w:val="false"/>
          <w:iCs w:val="false"/>
          <w:color w:val="1A1A1A"/>
          <w:sz w:val="20"/>
          <w:szCs w:val="20"/>
        </w:rPr>
        <w:t xml:space="preserve">Agent earns no commission until a transaction closes, funds, and Broker receives its share. Broker shall not be liable for commissions on transactions that fail to close for any reason, including buyer/seller default, financing failure, or title defects.</w:t>
      </w:r>
    </w:p>
    <w:p>
      <w:pPr>
        <w:spacing w:after="80" w:before="60"/>
        <w:jc w:val="both"/>
      </w:pPr>
      <w:r>
        <w:rPr>
          <w:rFonts w:ascii="Arial" w:cs="Arial" w:eastAsia="Arial" w:hAnsi="Arial"/>
          <w:b/>
          <w:bCs/>
          <w:i w:val="false"/>
          <w:iCs w:val="false"/>
          <w:color w:val="1A1A1A"/>
          <w:sz w:val="20"/>
          <w:szCs w:val="20"/>
        </w:rPr>
        <w:t xml:space="preserve">4.6  Referral &amp; Co-Brokerage</w:t>
      </w:r>
    </w:p>
    <w:p>
      <w:pPr>
        <w:spacing w:after="80" w:before="60"/>
        <w:jc w:val="both"/>
      </w:pPr>
      <w:r>
        <w:rPr>
          <w:rFonts w:ascii="Arial" w:cs="Arial" w:eastAsia="Arial" w:hAnsi="Arial"/>
          <w:b w:val="false"/>
          <w:bCs w:val="false"/>
          <w:i w:val="false"/>
          <w:iCs w:val="false"/>
          <w:color w:val="1A1A1A"/>
          <w:sz w:val="20"/>
          <w:szCs w:val="20"/>
        </w:rPr>
        <w:t xml:space="preserve">Referral fees paid to outside brokers shall be deducted from gross commission before the 80/20 split. Co-brokerage arrangements must be pre-approved in writing by Broker.</w:t>
      </w:r>
    </w:p>
    <w:p>
      <w:pPr>
        <w:spacing w:after="120" w:before="300"/>
      </w:pPr>
      <w:r>
        <w:rPr>
          <w:rFonts w:ascii="Arial" w:cs="Arial" w:eastAsia="Arial" w:hAnsi="Arial"/>
          <w:b/>
          <w:bCs/>
          <w:color w:val="B8962E"/>
          <w:sz w:val="28"/>
          <w:szCs w:val="28"/>
        </w:rPr>
        <w:t xml:space="preserve">5. INDEPENDENT CONTRACTOR STATUS</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5.1  Agent acknowledges and agrees that Agent is an independent contractor. Broker shall not withhold federal or state income taxes, Social Security, Medicare, or unemployment taxes from Agent's commissions. Agent is solely responsible for all self-employment taxes and estimated tax payments.</w:t>
      </w:r>
    </w:p>
    <w:p>
      <w:pPr>
        <w:spacing w:after="80" w:before="60"/>
        <w:jc w:val="both"/>
      </w:pPr>
      <w:r>
        <w:rPr>
          <w:rFonts w:ascii="Arial" w:cs="Arial" w:eastAsia="Arial" w:hAnsi="Arial"/>
          <w:b w:val="false"/>
          <w:bCs w:val="false"/>
          <w:i w:val="false"/>
          <w:iCs w:val="false"/>
          <w:color w:val="1A1A1A"/>
          <w:sz w:val="20"/>
          <w:szCs w:val="20"/>
        </w:rPr>
        <w:t xml:space="preserve">5.2  Broker shall issue IRS Form 1099 to Agent for all commissions paid during each calendar year. Agent shall indemnify and hold Broker harmless from any tax liabilities, penalties, or assessments arising from Agent's independent contractor status.</w:t>
      </w:r>
    </w:p>
    <w:p>
      <w:pPr>
        <w:spacing w:after="80" w:before="60"/>
        <w:jc w:val="both"/>
      </w:pPr>
      <w:r>
        <w:rPr>
          <w:rFonts w:ascii="Arial" w:cs="Arial" w:eastAsia="Arial" w:hAnsi="Arial"/>
          <w:b w:val="false"/>
          <w:bCs w:val="false"/>
          <w:i w:val="false"/>
          <w:iCs w:val="false"/>
          <w:color w:val="1A1A1A"/>
          <w:sz w:val="20"/>
          <w:szCs w:val="20"/>
        </w:rPr>
        <w:t xml:space="preserve">5.3  Agent is free to set Agent's own hours, choose clients, and determine the manner in which Agent conducts real estate activities, subject to TREC rules, Broker policies, and this Agreement. Broker does not provide Agent with employee benefits, workers' compensation, health insurance, or retirement benefits.</w:t>
      </w:r>
    </w:p>
    <w:p>
      <w:pPr>
        <w:spacing w:after="120" w:before="300"/>
      </w:pPr>
      <w:r>
        <w:rPr>
          <w:rFonts w:ascii="Arial" w:cs="Arial" w:eastAsia="Arial" w:hAnsi="Arial"/>
          <w:b/>
          <w:bCs/>
          <w:color w:val="B8962E"/>
          <w:sz w:val="28"/>
          <w:szCs w:val="28"/>
        </w:rPr>
        <w:t xml:space="preserve">6. BROKER SUPPORT &amp; RESOURCES</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In consideration of the 20% brokerage fee and TC fee, Broker shall provide:</w:t>
      </w:r>
    </w:p>
    <w:p>
      <w:pPr>
        <w:pStyle w:val="ListParagraph"/>
        <w:numPr>
          <w:ilvl w:val="0"/>
          <w:numId w:val="2"/>
        </w:numPr>
        <w:spacing w:after="40" w:before="40"/>
      </w:pPr>
      <w:r>
        <w:rPr>
          <w:rFonts w:ascii="Arial" w:cs="Arial" w:eastAsia="Arial" w:hAnsi="Arial"/>
          <w:color w:val="1A1A1A"/>
          <w:sz w:val="20"/>
          <w:szCs w:val="20"/>
        </w:rPr>
        <w:t xml:space="preserve">Access to the Legacy Wealth Realty agent portal, transaction management system, and digital tools.</w:t>
      </w:r>
    </w:p>
    <w:p>
      <w:pPr>
        <w:pStyle w:val="ListParagraph"/>
        <w:numPr>
          <w:ilvl w:val="0"/>
          <w:numId w:val="2"/>
        </w:numPr>
        <w:spacing w:after="40" w:before="40"/>
      </w:pPr>
      <w:r>
        <w:rPr>
          <w:rFonts w:ascii="Arial" w:cs="Arial" w:eastAsia="Arial" w:hAnsi="Arial"/>
          <w:color w:val="1A1A1A"/>
          <w:sz w:val="20"/>
          <w:szCs w:val="20"/>
        </w:rPr>
        <w:t xml:space="preserve">Broker supervision and compliance review of all transactions.</w:t>
      </w:r>
    </w:p>
    <w:p>
      <w:pPr>
        <w:pStyle w:val="ListParagraph"/>
        <w:numPr>
          <w:ilvl w:val="0"/>
          <w:numId w:val="2"/>
        </w:numPr>
        <w:spacing w:after="40" w:before="40"/>
      </w:pPr>
      <w:r>
        <w:rPr>
          <w:rFonts w:ascii="Arial" w:cs="Arial" w:eastAsia="Arial" w:hAnsi="Arial"/>
          <w:color w:val="1A1A1A"/>
          <w:sz w:val="20"/>
          <w:szCs w:val="20"/>
        </w:rPr>
        <w:t xml:space="preserve">Use of brokerage name, logo, and branding in Agent's licensed real estate activities.</w:t>
      </w:r>
    </w:p>
    <w:p>
      <w:pPr>
        <w:pStyle w:val="ListParagraph"/>
        <w:numPr>
          <w:ilvl w:val="0"/>
          <w:numId w:val="2"/>
        </w:numPr>
        <w:spacing w:after="40" w:before="40"/>
      </w:pPr>
      <w:r>
        <w:rPr>
          <w:rFonts w:ascii="Arial" w:cs="Arial" w:eastAsia="Arial" w:hAnsi="Arial"/>
          <w:color w:val="1A1A1A"/>
          <w:sz w:val="20"/>
          <w:szCs w:val="20"/>
        </w:rPr>
        <w:t xml:space="preserve">MLS access under Broker's membership (Agent responsible for individual MLS fees).</w:t>
      </w:r>
    </w:p>
    <w:p>
      <w:pPr>
        <w:pStyle w:val="ListParagraph"/>
        <w:numPr>
          <w:ilvl w:val="0"/>
          <w:numId w:val="2"/>
        </w:numPr>
        <w:spacing w:after="40" w:before="40"/>
      </w:pPr>
      <w:r>
        <w:rPr>
          <w:rFonts w:ascii="Arial" w:cs="Arial" w:eastAsia="Arial" w:hAnsi="Arial"/>
          <w:color w:val="1A1A1A"/>
          <w:sz w:val="20"/>
          <w:szCs w:val="20"/>
        </w:rPr>
        <w:t xml:space="preserve">Access to Broker-approved vendors, lenders, and title partners.</w:t>
      </w:r>
    </w:p>
    <w:p>
      <w:pPr>
        <w:pStyle w:val="ListParagraph"/>
        <w:numPr>
          <w:ilvl w:val="0"/>
          <w:numId w:val="2"/>
        </w:numPr>
        <w:spacing w:after="40" w:before="40"/>
      </w:pPr>
      <w:r>
        <w:rPr>
          <w:rFonts w:ascii="Arial" w:cs="Arial" w:eastAsia="Arial" w:hAnsi="Arial"/>
          <w:color w:val="1A1A1A"/>
          <w:sz w:val="20"/>
          <w:szCs w:val="20"/>
        </w:rPr>
        <w:t xml:space="preserve">Marketing templates, listing presentation materials, and training resources.</w:t>
      </w:r>
    </w:p>
    <w:p>
      <w:pPr>
        <w:pStyle w:val="ListParagraph"/>
        <w:numPr>
          <w:ilvl w:val="0"/>
          <w:numId w:val="2"/>
        </w:numPr>
        <w:spacing w:after="40" w:before="40"/>
      </w:pPr>
      <w:r>
        <w:rPr>
          <w:rFonts w:ascii="Arial" w:cs="Arial" w:eastAsia="Arial" w:hAnsi="Arial"/>
          <w:color w:val="1A1A1A"/>
          <w:sz w:val="20"/>
          <w:szCs w:val="20"/>
        </w:rPr>
        <w:t xml:space="preserve">Broker availability for consultation on transactions and compliance questions.</w:t>
      </w:r>
    </w:p>
    <w:p>
      <w:pPr>
        <w:spacing w:after="120" w:before="300"/>
      </w:pPr>
      <w:r>
        <w:rPr>
          <w:rFonts w:ascii="Arial" w:cs="Arial" w:eastAsia="Arial" w:hAnsi="Arial"/>
          <w:b/>
          <w:bCs/>
          <w:color w:val="B8962E"/>
          <w:sz w:val="28"/>
          <w:szCs w:val="28"/>
        </w:rPr>
        <w:t xml:space="preserve">7. AGENT OBLIGATIONS</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Agent agrees to:</w:t>
      </w:r>
    </w:p>
    <w:p>
      <w:pPr>
        <w:pStyle w:val="ListParagraph"/>
        <w:numPr>
          <w:ilvl w:val="0"/>
          <w:numId w:val="2"/>
        </w:numPr>
        <w:spacing w:after="40" w:before="40"/>
      </w:pPr>
      <w:r>
        <w:rPr>
          <w:rFonts w:ascii="Arial" w:cs="Arial" w:eastAsia="Arial" w:hAnsi="Arial"/>
          <w:color w:val="1A1A1A"/>
          <w:sz w:val="20"/>
          <w:szCs w:val="20"/>
        </w:rPr>
        <w:t xml:space="preserve">Submit all transaction documents to Broker through the designated portal within 24 hours of execution.</w:t>
      </w:r>
    </w:p>
    <w:p>
      <w:pPr>
        <w:pStyle w:val="ListParagraph"/>
        <w:numPr>
          <w:ilvl w:val="0"/>
          <w:numId w:val="2"/>
        </w:numPr>
        <w:spacing w:after="40" w:before="40"/>
      </w:pPr>
      <w:r>
        <w:rPr>
          <w:rFonts w:ascii="Arial" w:cs="Arial" w:eastAsia="Arial" w:hAnsi="Arial"/>
          <w:color w:val="1A1A1A"/>
          <w:sz w:val="20"/>
          <w:szCs w:val="20"/>
        </w:rPr>
        <w:t xml:space="preserve">Obtain written Broker approval before advertising in any medium using Broker's name or license number.</w:t>
      </w:r>
    </w:p>
    <w:p>
      <w:pPr>
        <w:pStyle w:val="ListParagraph"/>
        <w:numPr>
          <w:ilvl w:val="0"/>
          <w:numId w:val="2"/>
        </w:numPr>
        <w:spacing w:after="40" w:before="40"/>
      </w:pPr>
      <w:r>
        <w:rPr>
          <w:rFonts w:ascii="Arial" w:cs="Arial" w:eastAsia="Arial" w:hAnsi="Arial"/>
          <w:color w:val="1A1A1A"/>
          <w:sz w:val="20"/>
          <w:szCs w:val="20"/>
        </w:rPr>
        <w:t xml:space="preserve">Use TREC-promulgated forms for all transactions and obtain Broker's written approval before using any non-standard forms.</w:t>
      </w:r>
    </w:p>
    <w:p>
      <w:pPr>
        <w:pStyle w:val="ListParagraph"/>
        <w:numPr>
          <w:ilvl w:val="0"/>
          <w:numId w:val="2"/>
        </w:numPr>
        <w:spacing w:after="40" w:before="40"/>
      </w:pPr>
      <w:r>
        <w:rPr>
          <w:rFonts w:ascii="Arial" w:cs="Arial" w:eastAsia="Arial" w:hAnsi="Arial"/>
          <w:color w:val="1A1A1A"/>
          <w:sz w:val="20"/>
          <w:szCs w:val="20"/>
        </w:rPr>
        <w:t xml:space="preserve">Disclose Agent's licensed status to all parties in a transaction as required by TREC.</w:t>
      </w:r>
    </w:p>
    <w:p>
      <w:pPr>
        <w:pStyle w:val="ListParagraph"/>
        <w:numPr>
          <w:ilvl w:val="0"/>
          <w:numId w:val="2"/>
        </w:numPr>
        <w:spacing w:after="40" w:before="40"/>
      </w:pPr>
      <w:r>
        <w:rPr>
          <w:rFonts w:ascii="Arial" w:cs="Arial" w:eastAsia="Arial" w:hAnsi="Arial"/>
          <w:color w:val="1A1A1A"/>
          <w:sz w:val="20"/>
          <w:szCs w:val="20"/>
        </w:rPr>
        <w:t xml:space="preserve">Never hold or accept client funds, earnest money, or trust funds in Agent's personal account; all such funds must be directed to the title company or Broker's trust account as appropriate.</w:t>
      </w:r>
    </w:p>
    <w:p>
      <w:pPr>
        <w:pStyle w:val="ListParagraph"/>
        <w:numPr>
          <w:ilvl w:val="0"/>
          <w:numId w:val="2"/>
        </w:numPr>
        <w:spacing w:after="40" w:before="40"/>
      </w:pPr>
      <w:r>
        <w:rPr>
          <w:rFonts w:ascii="Arial" w:cs="Arial" w:eastAsia="Arial" w:hAnsi="Arial"/>
          <w:color w:val="1A1A1A"/>
          <w:sz w:val="20"/>
          <w:szCs w:val="20"/>
        </w:rPr>
        <w:t xml:space="preserve">Promptly notify Broker of any client complaints, threatened legal action, or TREC inquiries.</w:t>
      </w:r>
    </w:p>
    <w:p>
      <w:pPr>
        <w:pStyle w:val="ListParagraph"/>
        <w:numPr>
          <w:ilvl w:val="0"/>
          <w:numId w:val="2"/>
        </w:numPr>
        <w:spacing w:after="40" w:before="40"/>
      </w:pPr>
      <w:r>
        <w:rPr>
          <w:rFonts w:ascii="Arial" w:cs="Arial" w:eastAsia="Arial" w:hAnsi="Arial"/>
          <w:color w:val="1A1A1A"/>
          <w:sz w:val="20"/>
          <w:szCs w:val="20"/>
        </w:rPr>
        <w:t xml:space="preserve">Maintain a professional standard of conduct at all times consistent with TREC standards and Legacy Wealth Realty's Code of Conduct.</w:t>
      </w:r>
    </w:p>
    <w:p>
      <w:pPr>
        <w:pStyle w:val="ListParagraph"/>
        <w:numPr>
          <w:ilvl w:val="0"/>
          <w:numId w:val="2"/>
        </w:numPr>
        <w:spacing w:after="40" w:before="40"/>
      </w:pPr>
      <w:r>
        <w:rPr>
          <w:rFonts w:ascii="Arial" w:cs="Arial" w:eastAsia="Arial" w:hAnsi="Arial"/>
          <w:color w:val="1A1A1A"/>
          <w:sz w:val="20"/>
          <w:szCs w:val="20"/>
        </w:rPr>
        <w:t xml:space="preserve">Complete all required Legacy Wealth Realty onboarding training within thirty (30) days of the Effective Date.</w:t>
      </w:r>
    </w:p>
    <w:p>
      <w:pPr>
        <w:spacing w:after="120" w:before="300"/>
      </w:pPr>
      <w:r>
        <w:rPr>
          <w:rFonts w:ascii="Arial" w:cs="Arial" w:eastAsia="Arial" w:hAnsi="Arial"/>
          <w:b/>
          <w:bCs/>
          <w:color w:val="B8962E"/>
          <w:sz w:val="28"/>
          <w:szCs w:val="28"/>
        </w:rPr>
        <w:t xml:space="preserve">8. ARTIFICIAL INTELLIGENCE &amp; TECHNOLOGY TOOLS</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8.1  AI-Assisted Tools. Broker may provide Agent access to artificial intelligence (AI)-powered tools for marketing, transaction management, client communication drafting, and analytics. Agent acknowledges that AI-generated content, valuations, and recommendations are assistive tools only and do not constitute professional legal, financial, or appraisal advice.</w:t>
      </w:r>
    </w:p>
    <w:p>
      <w:pPr>
        <w:spacing w:after="80" w:before="60"/>
        <w:jc w:val="both"/>
      </w:pPr>
      <w:r>
        <w:rPr>
          <w:rFonts w:ascii="Arial" w:cs="Arial" w:eastAsia="Arial" w:hAnsi="Arial"/>
          <w:b w:val="false"/>
          <w:bCs w:val="false"/>
          <w:i w:val="false"/>
          <w:iCs w:val="false"/>
          <w:color w:val="1A1A1A"/>
          <w:sz w:val="20"/>
          <w:szCs w:val="20"/>
        </w:rPr>
        <w:t xml:space="preserve">8.2  Agent Responsibility. Agent is solely responsible for reviewing, verifying, and approving all AI-generated content before use with clients or submission in transactions. Agent shall not represent AI-generated content as independently verified professional opinion without independent review.</w:t>
      </w:r>
    </w:p>
    <w:p>
      <w:pPr>
        <w:spacing w:after="80" w:before="60"/>
        <w:jc w:val="both"/>
      </w:pPr>
      <w:r>
        <w:rPr>
          <w:rFonts w:ascii="Arial" w:cs="Arial" w:eastAsia="Arial" w:hAnsi="Arial"/>
          <w:b w:val="false"/>
          <w:bCs w:val="false"/>
          <w:i w:val="false"/>
          <w:iCs w:val="false"/>
          <w:color w:val="1A1A1A"/>
          <w:sz w:val="20"/>
          <w:szCs w:val="20"/>
        </w:rPr>
        <w:t xml:space="preserve">8.3  Client Disclosure. Agent agrees to disclose to clients when AI tools have been materially used in the preparation of marketing materials, property analyses, or written communications, consistent with TREC guidance and applicable law.</w:t>
      </w:r>
    </w:p>
    <w:p>
      <w:pPr>
        <w:spacing w:after="80" w:before="60"/>
        <w:jc w:val="both"/>
      </w:pPr>
      <w:r>
        <w:rPr>
          <w:rFonts w:ascii="Arial" w:cs="Arial" w:eastAsia="Arial" w:hAnsi="Arial"/>
          <w:b w:val="false"/>
          <w:bCs w:val="false"/>
          <w:i w:val="false"/>
          <w:iCs w:val="false"/>
          <w:color w:val="1A1A1A"/>
          <w:sz w:val="20"/>
          <w:szCs w:val="20"/>
        </w:rPr>
        <w:t xml:space="preserve">8.4  Data Privacy. Agent shall not input client personally identifiable information (PII), financial data, or confidential transaction details into any non-Broker-approved AI or third-party tool. Violation of this provision constitutes a material breach of this Agreement.</w:t>
      </w:r>
    </w:p>
    <w:p>
      <w:pPr>
        <w:spacing w:after="80" w:before="60"/>
        <w:jc w:val="both"/>
      </w:pPr>
      <w:r>
        <w:rPr>
          <w:rFonts w:ascii="Arial" w:cs="Arial" w:eastAsia="Arial" w:hAnsi="Arial"/>
          <w:b w:val="false"/>
          <w:bCs w:val="false"/>
          <w:i w:val="false"/>
          <w:iCs w:val="false"/>
          <w:color w:val="1A1A1A"/>
          <w:sz w:val="20"/>
          <w:szCs w:val="20"/>
        </w:rPr>
        <w:t xml:space="preserve">8.5  No Warranty. Broker makes no warranty regarding the accuracy or reliability of AI-generated outputs. Agent assumes all professional responsibility for the use of such tools in client-facing activities.</w:t>
      </w:r>
    </w:p>
    <w:p>
      <w:pPr>
        <w:spacing w:after="120" w:before="120"/>
      </w:pPr>
      <w:r>
        <w:rPr>
          <w:rFonts w:ascii="Arial" w:cs="Arial" w:eastAsia="Arial" w:hAnsi="Arial"/>
          <w:b/>
          <w:bCs/>
          <w:color w:val="1A1A1A"/>
          <w:sz w:val="20"/>
          <w:szCs w:val="20"/>
        </w:rPr>
        <w:t xml:space="preserve">8.6  Privacy Policy. Broker maintains a Privacy Policy governing the collection, use, and protection of personal information obtained through brokerage operations, digital platforms, and client and agent interactions. By executing this Agreement, Agent acknowledges having reviewed Legacy Wealth Realty’s Privacy Policy, available at legacyrealtydfw.com/privacy, and agrees to handle all client and prospect personal information in accordance with its terms. Agent shall not collect, store, sell, or share personal information obtained through Broker’s systems or client relationships except as necessary to fulfill Agent’s licensed real estate duties or as required by law. This obligation survives termination of this Agreement.</w:t>
      </w:r>
    </w:p>
    <w:p>
      <w:pPr>
        <w:spacing w:after="120" w:before="300"/>
      </w:pPr>
      <w:r>
        <w:rPr>
          <w:rFonts w:ascii="Arial" w:cs="Arial" w:eastAsia="Arial" w:hAnsi="Arial"/>
          <w:b/>
          <w:bCs/>
          <w:color w:val="B8962E"/>
          <w:sz w:val="28"/>
          <w:szCs w:val="28"/>
        </w:rPr>
        <w:t xml:space="preserve">9. CONFIDENTIALITY &amp; PROPRIETARY INFORMATION</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Agent agrees to hold in strict confidence and not disclose to any third party: (a) Broker's client lists, prospect databases, and CRM data; (b) Broker's commission structures, vendor terms, and business strategies; (c) any non-public information obtained from clients during the course of representation; and (d) Broker's proprietary systems, training materials, and technology tools.</w:t>
      </w:r>
    </w:p>
    <w:p>
      <w:pPr>
        <w:spacing w:after="80" w:before="60"/>
        <w:jc w:val="both"/>
      </w:pPr>
      <w:r>
        <w:rPr>
          <w:rFonts w:ascii="Arial" w:cs="Arial" w:eastAsia="Arial" w:hAnsi="Arial"/>
          <w:b w:val="false"/>
          <w:bCs w:val="false"/>
          <w:i w:val="false"/>
          <w:iCs w:val="false"/>
          <w:color w:val="1A1A1A"/>
          <w:sz w:val="20"/>
          <w:szCs w:val="20"/>
        </w:rPr>
        <w:t xml:space="preserve">This confidentiality obligation survives termination of this Agreement for a period of two (2) years. Upon termination, Agent shall promptly return or destroy all Broker proprietary materials and certify destruction upon request.</w:t>
      </w:r>
    </w:p>
    <w:p>
      <w:pPr>
        <w:spacing w:after="120" w:before="300"/>
      </w:pPr>
      <w:r>
        <w:rPr>
          <w:rFonts w:ascii="Arial" w:cs="Arial" w:eastAsia="Arial" w:hAnsi="Arial"/>
          <w:b/>
          <w:bCs/>
          <w:color w:val="B8962E"/>
          <w:sz w:val="28"/>
          <w:szCs w:val="28"/>
        </w:rPr>
        <w:t xml:space="preserve">10. NON-SOLICITATION</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For a period of twelve (12) months following termination of this Agreement, Agent shall not, directly or indirectly:</w:t>
      </w:r>
    </w:p>
    <w:p>
      <w:pPr>
        <w:pStyle w:val="ListParagraph"/>
        <w:numPr>
          <w:ilvl w:val="0"/>
          <w:numId w:val="2"/>
        </w:numPr>
        <w:spacing w:after="40" w:before="40"/>
      </w:pPr>
      <w:r>
        <w:rPr>
          <w:rFonts w:ascii="Arial" w:cs="Arial" w:eastAsia="Arial" w:hAnsi="Arial"/>
          <w:color w:val="1A1A1A"/>
          <w:sz w:val="20"/>
          <w:szCs w:val="20"/>
        </w:rPr>
        <w:t xml:space="preserve">Solicit or induce any other Legacy Wealth Realty agent to terminate their agreement with Broker or join a competing brokerage.</w:t>
      </w:r>
    </w:p>
    <w:p>
      <w:pPr>
        <w:pStyle w:val="ListParagraph"/>
        <w:numPr>
          <w:ilvl w:val="0"/>
          <w:numId w:val="2"/>
        </w:numPr>
        <w:spacing w:after="40" w:before="40"/>
      </w:pPr>
      <w:r>
        <w:rPr>
          <w:rFonts w:ascii="Arial" w:cs="Arial" w:eastAsia="Arial" w:hAnsi="Arial"/>
          <w:color w:val="1A1A1A"/>
          <w:sz w:val="20"/>
          <w:szCs w:val="20"/>
        </w:rPr>
        <w:t xml:space="preserve">Use Broker's client lists, databases, or CRM data to solicit former Broker clients for Agent's benefit at a competing brokerage.</w:t>
      </w:r>
    </w:p>
    <w:p>
      <w:pPr>
        <w:spacing w:after="80" w:before="60"/>
        <w:jc w:val="both"/>
      </w:pPr>
      <w:r>
        <w:rPr>
          <w:rFonts w:ascii="Arial" w:cs="Arial" w:eastAsia="Arial" w:hAnsi="Arial"/>
          <w:b w:val="false"/>
          <w:bCs w:val="false"/>
          <w:i w:val="false"/>
          <w:iCs w:val="false"/>
          <w:color w:val="1A1A1A"/>
          <w:sz w:val="20"/>
          <w:szCs w:val="20"/>
        </w:rPr>
        <w:t xml:space="preserve">This non-solicitation provision does not prohibit Agent from serving clients who independently contact Agent after termination, nor from advertising Agent's services to the general public. This provision is not a non-compete clause and does not restrict Agent's right to engage in real estate activities at another brokerage.</w:t>
      </w:r>
    </w:p>
    <w:p>
      <w:pPr>
        <w:spacing w:after="120" w:before="300"/>
      </w:pPr>
      <w:r>
        <w:rPr>
          <w:rFonts w:ascii="Arial" w:cs="Arial" w:eastAsia="Arial" w:hAnsi="Arial"/>
          <w:b/>
          <w:bCs/>
          <w:color w:val="B8962E"/>
          <w:sz w:val="28"/>
          <w:szCs w:val="28"/>
        </w:rPr>
        <w:t xml:space="preserve">11. INDEMNIFICATION &amp; LIMITATION OF LIABILITY</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11.1  Agent shall indemnify, defend, and hold harmless Legacy Wealth Realty LLC, its members, managers, employees, and agents from and against any and all claims, damages, losses, costs, and expenses (including reasonable attorneys' fees) arising out of or resulting from: (a) Agent's professional acts or omissions; (b) Agent's breach of this Agreement; (c) Agent's violation of TREC rules or applicable law; (d) any third-party claims arising from Agent's real estate activities; or (e) Agent's use of AI tools or technology in violation of Section 8.</w:t>
      </w:r>
    </w:p>
    <w:p>
      <w:pPr>
        <w:spacing w:after="80" w:before="60"/>
        <w:jc w:val="both"/>
      </w:pPr>
      <w:r>
        <w:rPr>
          <w:rFonts w:ascii="Arial" w:cs="Arial" w:eastAsia="Arial" w:hAnsi="Arial"/>
          <w:b w:val="false"/>
          <w:bCs w:val="false"/>
          <w:i w:val="false"/>
          <w:iCs w:val="false"/>
          <w:color w:val="1A1A1A"/>
          <w:sz w:val="20"/>
          <w:szCs w:val="20"/>
        </w:rPr>
        <w:t xml:space="preserve">11.2  Broker's total liability to Agent under this Agreement shall not exceed the total commissions paid to Agent in the three (3) months immediately preceding the event giving rise to the claim.</w:t>
      </w:r>
    </w:p>
    <w:p>
      <w:pPr>
        <w:spacing w:after="80" w:before="60"/>
        <w:jc w:val="both"/>
      </w:pPr>
      <w:r>
        <w:rPr>
          <w:rFonts w:ascii="Arial" w:cs="Arial" w:eastAsia="Arial" w:hAnsi="Arial"/>
          <w:b w:val="false"/>
          <w:bCs w:val="false"/>
          <w:i w:val="false"/>
          <w:iCs w:val="false"/>
          <w:color w:val="1A1A1A"/>
          <w:sz w:val="20"/>
          <w:szCs w:val="20"/>
        </w:rPr>
        <w:t xml:space="preserve">11.3  In no event shall Broker be liable for any indirect, incidental, consequential, or punitive damages arising from this Agreement or Agent's real estate activities.</w:t>
      </w:r>
    </w:p>
    <w:p>
      <w:pPr>
        <w:spacing w:after="120" w:before="300"/>
      </w:pPr>
      <w:r>
        <w:rPr>
          <w:rFonts w:ascii="Arial" w:cs="Arial" w:eastAsia="Arial" w:hAnsi="Arial"/>
          <w:b/>
          <w:bCs/>
          <w:color w:val="B8962E"/>
          <w:sz w:val="28"/>
          <w:szCs w:val="28"/>
        </w:rPr>
        <w:t xml:space="preserve">12. DISPUTE RESOLUTION</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12.1  Good Faith Negotiation. The parties agree to attempt to resolve any dispute under this Agreement through good-faith negotiation before pursuing formal proceedings.</w:t>
      </w:r>
    </w:p>
    <w:p>
      <w:pPr>
        <w:spacing w:after="80" w:before="60"/>
        <w:jc w:val="both"/>
      </w:pPr>
      <w:r>
        <w:rPr>
          <w:rFonts w:ascii="Arial" w:cs="Arial" w:eastAsia="Arial" w:hAnsi="Arial"/>
          <w:b w:val="false"/>
          <w:bCs w:val="false"/>
          <w:i w:val="false"/>
          <w:iCs w:val="false"/>
          <w:color w:val="1A1A1A"/>
          <w:sz w:val="20"/>
          <w:szCs w:val="20"/>
        </w:rPr>
        <w:t xml:space="preserve">12.2  Mediation. If negotiation fails, the parties agree to submit the dispute to non-binding mediation administered by a mutually agreed mediator in Dallas County, Texas, before filing any legal action.</w:t>
      </w:r>
    </w:p>
    <w:p>
      <w:pPr>
        <w:spacing w:after="80" w:before="60"/>
        <w:jc w:val="both"/>
      </w:pPr>
      <w:r>
        <w:rPr>
          <w:rFonts w:ascii="Arial" w:cs="Arial" w:eastAsia="Arial" w:hAnsi="Arial"/>
          <w:b w:val="false"/>
          <w:bCs w:val="false"/>
          <w:i w:val="false"/>
          <w:iCs w:val="false"/>
          <w:color w:val="1A1A1A"/>
          <w:sz w:val="20"/>
          <w:szCs w:val="20"/>
        </w:rPr>
        <w:t xml:space="preserve">12.3  Governing Law &amp; Venue. This Agreement shall be governed by the laws of the State of Texas. Any legal action shall be brought exclusively in the state or federal courts of Dallas County, Texas.</w:t>
      </w:r>
    </w:p>
    <w:p>
      <w:pPr>
        <w:spacing w:after="80" w:before="60"/>
        <w:jc w:val="both"/>
      </w:pPr>
      <w:r>
        <w:rPr>
          <w:rFonts w:ascii="Arial" w:cs="Arial" w:eastAsia="Arial" w:hAnsi="Arial"/>
          <w:b w:val="false"/>
          <w:bCs w:val="false"/>
          <w:i w:val="false"/>
          <w:iCs w:val="false"/>
          <w:color w:val="1A1A1A"/>
          <w:sz w:val="20"/>
          <w:szCs w:val="20"/>
        </w:rPr>
        <w:t xml:space="preserve">12.4  Attorneys' Fees. In any legal proceeding to enforce this Agreement, the prevailing party shall be entitled to recover reasonable attorneys' fees and costs from the non-prevailing party.</w:t>
      </w:r>
    </w:p>
    <w:p>
      <w:pPr>
        <w:spacing w:after="80" w:before="60"/>
        <w:jc w:val="both"/>
      </w:pPr>
      <w:r>
        <w:rPr>
          <w:rFonts w:ascii="Arial" w:cs="Arial" w:eastAsia="Arial" w:hAnsi="Arial"/>
          <w:b/>
          <w:bCs/>
          <w:i w:val="false"/>
          <w:iCs w:val="false"/>
          <w:color w:val="1A1A1A"/>
          <w:sz w:val="20"/>
          <w:szCs w:val="20"/>
        </w:rPr>
        <w:t xml:space="preserve">12.5  JURY WAIVER. TO THE FULLEST EXTENT PERMITTED BY LAW, THE PARTIES WAIVE THE RIGHT TO A JURY TRIAL IN ANY DISPUTE ARISING UNDER OR RELATED TO THIS AGREEMENT.</w:t>
      </w:r>
    </w:p>
    <w:p>
      <w:pPr>
        <w:spacing w:after="120" w:before="300"/>
      </w:pPr>
      <w:r>
        <w:rPr>
          <w:rFonts w:ascii="Arial" w:cs="Arial" w:eastAsia="Arial" w:hAnsi="Arial"/>
          <w:b/>
          <w:bCs/>
          <w:color w:val="B8962E"/>
          <w:sz w:val="28"/>
          <w:szCs w:val="28"/>
        </w:rPr>
        <w:t xml:space="preserve">13. GENERAL PROVISIONS</w:t>
      </w:r>
    </w:p>
    <w:p>
      <w:pPr>
        <w:pBdr>
          <w:bottom w:val="single" w:color="B8962E" w:sz="6" w:space="1"/>
        </w:pBdr>
        <w:spacing w:after="120" w:before="120"/>
      </w:pPr>
    </w:p>
    <w:p>
      <w:pPr>
        <w:spacing w:after="80" w:before="60"/>
        <w:jc w:val="both"/>
      </w:pPr>
      <w:r>
        <w:rPr>
          <w:rFonts w:ascii="Arial" w:cs="Arial" w:eastAsia="Arial" w:hAnsi="Arial"/>
          <w:b w:val="false"/>
          <w:bCs w:val="false"/>
          <w:i w:val="false"/>
          <w:iCs w:val="false"/>
          <w:color w:val="1A1A1A"/>
          <w:sz w:val="20"/>
          <w:szCs w:val="20"/>
        </w:rPr>
        <w:t xml:space="preserve">13.1  Entire Agreement. This Agreement constitutes the entire agreement between the parties with respect to its subject matter and supersedes all prior negotiations, representations, warranties, and understandings, whether oral or written.</w:t>
      </w:r>
    </w:p>
    <w:p>
      <w:pPr>
        <w:spacing w:after="80" w:before="60"/>
        <w:jc w:val="both"/>
      </w:pPr>
      <w:r>
        <w:rPr>
          <w:rFonts w:ascii="Arial" w:cs="Arial" w:eastAsia="Arial" w:hAnsi="Arial"/>
          <w:b w:val="false"/>
          <w:bCs w:val="false"/>
          <w:i w:val="false"/>
          <w:iCs w:val="false"/>
          <w:color w:val="1A1A1A"/>
          <w:sz w:val="20"/>
          <w:szCs w:val="20"/>
        </w:rPr>
        <w:t xml:space="preserve">13.2  Amendments. This Agreement may only be amended by a written instrument signed by both parties.</w:t>
      </w:r>
    </w:p>
    <w:p>
      <w:pPr>
        <w:spacing w:after="80" w:before="60"/>
        <w:jc w:val="both"/>
      </w:pPr>
      <w:r>
        <w:rPr>
          <w:rFonts w:ascii="Arial" w:cs="Arial" w:eastAsia="Arial" w:hAnsi="Arial"/>
          <w:b w:val="false"/>
          <w:bCs w:val="false"/>
          <w:i w:val="false"/>
          <w:iCs w:val="false"/>
          <w:color w:val="1A1A1A"/>
          <w:sz w:val="20"/>
          <w:szCs w:val="20"/>
        </w:rPr>
        <w:t xml:space="preserve">13.3  Severability. If any provision of this Agreement is found invalid or unenforceable, the remaining provisions shall continue in full force and effect.</w:t>
      </w:r>
    </w:p>
    <w:p>
      <w:pPr>
        <w:spacing w:after="80" w:before="60"/>
        <w:jc w:val="both"/>
      </w:pPr>
      <w:r>
        <w:rPr>
          <w:rFonts w:ascii="Arial" w:cs="Arial" w:eastAsia="Arial" w:hAnsi="Arial"/>
          <w:b w:val="false"/>
          <w:bCs w:val="false"/>
          <w:i w:val="false"/>
          <w:iCs w:val="false"/>
          <w:color w:val="1A1A1A"/>
          <w:sz w:val="20"/>
          <w:szCs w:val="20"/>
        </w:rPr>
        <w:t xml:space="preserve">13.4  Waiver. Failure by either party to enforce any provision of this Agreement shall not constitute a waiver of that party's right to enforce such provision in the future.</w:t>
      </w:r>
    </w:p>
    <w:p>
      <w:pPr>
        <w:spacing w:after="80" w:before="60"/>
        <w:jc w:val="both"/>
      </w:pPr>
      <w:r>
        <w:rPr>
          <w:rFonts w:ascii="Arial" w:cs="Arial" w:eastAsia="Arial" w:hAnsi="Arial"/>
          <w:b w:val="false"/>
          <w:bCs w:val="false"/>
          <w:i w:val="false"/>
          <w:iCs w:val="false"/>
          <w:color w:val="1A1A1A"/>
          <w:sz w:val="20"/>
          <w:szCs w:val="20"/>
        </w:rPr>
        <w:t xml:space="preserve">13.5  Assignment. Agent may not assign this Agreement or Agent's rights hereunder without Broker's prior written consent. Broker may assign this Agreement in connection with a merger, acquisition, or sale of substantially all of Broker's assets.</w:t>
      </w:r>
    </w:p>
    <w:p>
      <w:pPr>
        <w:spacing w:after="80" w:before="60"/>
        <w:jc w:val="both"/>
      </w:pPr>
      <w:r>
        <w:rPr>
          <w:rFonts w:ascii="Arial" w:cs="Arial" w:eastAsia="Arial" w:hAnsi="Arial"/>
          <w:b w:val="false"/>
          <w:bCs w:val="false"/>
          <w:i w:val="false"/>
          <w:iCs w:val="false"/>
          <w:color w:val="1A1A1A"/>
          <w:sz w:val="20"/>
          <w:szCs w:val="20"/>
        </w:rPr>
        <w:t xml:space="preserve">13.6  Counterparts / Electronic Signature. This Agreement may be executed in counterparts, each of which shall be deemed an original. Electronic signatures, including DocuSign and other e-signature platforms compliant with the Texas Uniform Electronic Transactions Act (TUETA), shall be deemed valid and binding.</w:t>
      </w:r>
    </w:p>
    <w:p>
      <w:pPr>
        <w:spacing w:after="80" w:before="60"/>
        <w:jc w:val="both"/>
      </w:pPr>
      <w:r>
        <w:rPr>
          <w:rFonts w:ascii="Arial" w:cs="Arial" w:eastAsia="Arial" w:hAnsi="Arial"/>
          <w:b w:val="false"/>
          <w:bCs w:val="false"/>
          <w:i w:val="false"/>
          <w:iCs w:val="false"/>
          <w:color w:val="1A1A1A"/>
          <w:sz w:val="20"/>
          <w:szCs w:val="20"/>
        </w:rPr>
        <w:t xml:space="preserve">13.7  Notices. All notices under this Agreement shall be in writing and delivered by email to the addresses on file, or by certified mail to Broker's principal place of business.</w:t>
      </w:r>
    </w:p>
    <w:p>
      <w:pPr>
        <w:spacing w:after="120" w:before="300"/>
      </w:pPr>
      <w:r>
        <w:rPr>
          <w:rFonts w:ascii="Arial" w:cs="Arial" w:eastAsia="Arial" w:hAnsi="Arial"/>
          <w:b/>
          <w:bCs/>
          <w:color w:val="B8962E"/>
          <w:sz w:val="28"/>
          <w:szCs w:val="28"/>
        </w:rPr>
        <w:t xml:space="preserve">14. ACKNOWLEDGMENT &amp; SIGNATURE</w:t>
      </w:r>
    </w:p>
    <w:p>
      <w:pPr>
        <w:pBdr>
          <w:bottom w:val="single" w:color="B8962E" w:sz="6" w:space="1"/>
        </w:pBdr>
        <w:spacing w:after="120" w:before="120"/>
      </w:pPr>
    </w:p>
    <w:p>
      <w:pPr>
        <w:spacing w:after="80" w:before="60"/>
        <w:jc w:val="center"/>
      </w:pPr>
      <w:r>
        <w:rPr>
          <w:rFonts w:ascii="Arial" w:cs="Arial" w:eastAsia="Arial" w:hAnsi="Arial"/>
          <w:b/>
          <w:bCs/>
          <w:i w:val="false"/>
          <w:iCs w:val="false"/>
          <w:color w:val="1A1A1A"/>
          <w:sz w:val="20"/>
          <w:szCs w:val="20"/>
        </w:rPr>
        <w:t xml:space="preserve">BY SIGNING BELOW, THE PARTIES ACKNOWLEDGE THAT THEY HAVE READ, UNDERSTAND, AND AGREE TO BE BOUND BY ALL TERMS AND CONDITIONS OF THIS INDEPENDENT CONTRACTOR AGREEMENT.</w:t>
      </w:r>
    </w:p>
    <w:p>
      <w:pPr>
        <w:spacing w:before="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360"/>
        <w:gridCol w:w="4500"/>
      </w:tblGrid>
      <w:tr>
        <w:tc>
          <w:tcPr>
            <w:tcW w:type="dxa" w:w="4500"/>
            <w:tcBorders>
              <w:top w:val="none" w:color="FFFFFF" w:sz="0"/>
              <w:left w:val="none" w:color="FFFFFF" w:sz="0"/>
              <w:bottom w:val="none" w:color="FFFFFF" w:sz="0"/>
              <w:right w:val="none" w:color="FFFFFF" w:sz="0"/>
            </w:tcBorders>
          </w:tcPr>
          <w:p>
            <w:r>
              <w:rPr>
                <w:rFonts w:ascii="Arial" w:cs="Arial" w:eastAsia="Arial" w:hAnsi="Arial"/>
                <w:b/>
                <w:bCs/>
                <w:color w:val="B8962E"/>
                <w:sz w:val="20"/>
                <w:szCs w:val="20"/>
              </w:rPr>
              <w:t xml:space="preserve">BROKER</w:t>
            </w:r>
          </w:p>
          <w:p>
            <w:r>
              <w:rPr>
                <w:rFonts w:ascii="Arial" w:cs="Arial" w:eastAsia="Arial" w:hAnsi="Arial"/>
                <w:color w:val="555555"/>
                <w:sz w:val="18"/>
                <w:szCs w:val="18"/>
              </w:rPr>
              <w:t xml:space="preserve">Legacy Wealth Realty LLC</w:t>
            </w:r>
          </w:p>
          <w:p>
            <w:pPr>
              <w:pBdr>
                <w:bottom w:val="single" w:color="999999" w:sz="4"/>
              </w:pBdr>
              <w:spacing w:before="400"/>
            </w:pPr>
            <w:r>
              <w:rPr>
                <w:rFonts w:ascii="Arial" w:cs="Arial" w:eastAsia="Arial" w:hAnsi="Arial"/>
              </w:rPr>
              <w:t xml:space="preserve"> </w:t>
            </w:r>
          </w:p>
          <w:p>
            <w:pPr>
              <w:spacing w:before="40"/>
            </w:pPr>
            <w:r>
              <w:rPr>
                <w:rFonts w:ascii="Arial" w:cs="Arial" w:eastAsia="Arial" w:hAnsi="Arial"/>
                <w:color w:val="555555"/>
                <w:sz w:val="16"/>
                <w:szCs w:val="16"/>
              </w:rPr>
              <w:t xml:space="preserve">Suhail Sabharwal, Broker/Owner</w:t>
            </w:r>
          </w:p>
          <w:p>
            <w:pPr>
              <w:pBdr>
                <w:bottom w:val="single" w:color="999999" w:sz="4"/>
              </w:pBdr>
              <w:spacing w:before="240"/>
            </w:pPr>
            <w:r>
              <w:rPr>
                <w:rFonts w:ascii="Arial" w:cs="Arial" w:eastAsia="Arial" w:hAnsi="Arial"/>
              </w:rPr>
              <w:t xml:space="preserve"> </w:t>
            </w:r>
          </w:p>
          <w:p>
            <w:pPr>
              <w:spacing w:before="40"/>
            </w:pPr>
            <w:r>
              <w:rPr>
                <w:rFonts w:ascii="Arial" w:cs="Arial" w:eastAsia="Arial" w:hAnsi="Arial"/>
                <w:color w:val="555555"/>
                <w:sz w:val="16"/>
                <w:szCs w:val="16"/>
              </w:rPr>
              <w:t xml:space="preserve">Date</w:t>
            </w:r>
          </w:p>
        </w:tc>
        <w:tc>
          <w:tcPr>
            <w:tcW w:type="dxa" w:w="360"/>
            <w:tcBorders>
              <w:top w:val="none" w:color="FFFFFF" w:sz="0"/>
              <w:left w:val="none" w:color="FFFFFF" w:sz="0"/>
              <w:bottom w:val="none" w:color="FFFFFF" w:sz="0"/>
              <w:right w:val="none" w:color="FFFFFF" w:sz="0"/>
            </w:tcBorders>
          </w:tcPr>
          <w:p/>
        </w:tc>
        <w:tc>
          <w:tcPr>
            <w:tcW w:type="dxa" w:w="4500"/>
            <w:tcBorders>
              <w:top w:val="none" w:color="FFFFFF" w:sz="0"/>
              <w:left w:val="none" w:color="FFFFFF" w:sz="0"/>
              <w:bottom w:val="none" w:color="FFFFFF" w:sz="0"/>
              <w:right w:val="none" w:color="FFFFFF" w:sz="0"/>
            </w:tcBorders>
          </w:tcPr>
          <w:p>
            <w:r>
              <w:rPr>
                <w:rFonts w:ascii="Arial" w:cs="Arial" w:eastAsia="Arial" w:hAnsi="Arial"/>
                <w:b/>
                <w:bCs/>
                <w:color w:val="B8962E"/>
                <w:sz w:val="20"/>
                <w:szCs w:val="20"/>
              </w:rPr>
              <w:t xml:space="preserve">AGENT</w:t>
            </w:r>
          </w:p>
          <w:p>
            <w:r>
              <w:rPr>
                <w:rFonts w:ascii="Arial" w:cs="Arial" w:eastAsia="Arial" w:hAnsi="Arial"/>
                <w:color w:val="555555"/>
                <w:sz w:val="18"/>
                <w:szCs w:val="18"/>
              </w:rPr>
              <w:t xml:space="preserve">Sales Associate</w:t>
            </w:r>
          </w:p>
          <w:p>
            <w:pPr>
              <w:pBdr>
                <w:bottom w:val="single" w:color="999999" w:sz="4"/>
              </w:pBdr>
              <w:spacing w:before="400"/>
            </w:pPr>
            <w:r>
              <w:rPr>
                <w:rFonts w:ascii="Arial" w:cs="Arial" w:eastAsia="Arial" w:hAnsi="Arial"/>
              </w:rPr>
              <w:t xml:space="preserve"> </w:t>
            </w:r>
          </w:p>
          <w:p>
            <w:pPr>
              <w:spacing w:before="40"/>
            </w:pPr>
            <w:r>
              <w:rPr>
                <w:rFonts w:ascii="Arial" w:cs="Arial" w:eastAsia="Arial" w:hAnsi="Arial"/>
                <w:color w:val="555555"/>
                <w:sz w:val="16"/>
                <w:szCs w:val="16"/>
              </w:rPr>
              <w:t xml:space="preserve">Agent Printed Name &amp; Signature</w:t>
            </w:r>
          </w:p>
          <w:p>
            <w:pPr>
              <w:pBdr>
                <w:bottom w:val="single" w:color="999999" w:sz="4"/>
              </w:pBdr>
              <w:spacing w:before="240"/>
            </w:pPr>
            <w:r>
              <w:rPr>
                <w:rFonts w:ascii="Arial" w:cs="Arial" w:eastAsia="Arial" w:hAnsi="Arial"/>
              </w:rPr>
              <w:t xml:space="preserve"> </w:t>
            </w:r>
          </w:p>
          <w:p>
            <w:pPr>
              <w:spacing w:before="40"/>
            </w:pPr>
            <w:r>
              <w:rPr>
                <w:rFonts w:ascii="Arial" w:cs="Arial" w:eastAsia="Arial" w:hAnsi="Arial"/>
                <w:color w:val="555555"/>
                <w:sz w:val="16"/>
                <w:szCs w:val="16"/>
              </w:rPr>
              <w:t xml:space="preserve">Date</w:t>
            </w:r>
          </w:p>
        </w:tc>
      </w:tr>
    </w:tbl>
    <w:p>
      <w:pPr>
        <w:spacing w:before="400"/>
      </w:pPr>
    </w:p>
    <w:p>
      <w:pPr>
        <w:pBdr>
          <w:bottom w:val="single" w:color="B8962E" w:sz="6" w:space="1"/>
        </w:pBdr>
        <w:spacing w:after="120" w:before="120"/>
      </w:pPr>
    </w:p>
    <w:p>
      <w:pPr>
        <w:spacing w:after="80" w:before="60"/>
        <w:jc w:val="both"/>
      </w:pPr>
      <w:r>
        <w:rPr>
          <w:rFonts w:ascii="Arial" w:cs="Arial" w:eastAsia="Arial" w:hAnsi="Arial"/>
          <w:b w:val="false"/>
          <w:bCs w:val="false"/>
          <w:i/>
          <w:iCs/>
          <w:color w:val="555555"/>
          <w:sz w:val="20"/>
          <w:szCs w:val="20"/>
        </w:rPr>
        <w:t xml:space="preserve">This document was prepared for use by Legacy Wealth Realty LLC. This is not legal advice. Consult a licensed Texas real estate attorney before execution.</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962E" w:sz="4" w:space="4"/>
      </w:pBdr>
      <w:tabs>
        <w:tab w:val="right" w:pos="9026"/>
      </w:tabs>
    </w:pPr>
    <w:r>
      <w:rPr>
        <w:rFonts w:ascii="Arial" w:cs="Arial" w:eastAsia="Arial" w:hAnsi="Arial"/>
        <w:color w:val="555555"/>
        <w:sz w:val="16"/>
        <w:szCs w:val="16"/>
      </w:rPr>
      <w:t xml:space="preserve">Confidential — Legacy Wealth Realty LLC · legacyrealtydfw.com</w:t>
    </w:r>
    <w:r>
      <w:rPr>
        <w:rFonts w:ascii="Arial" w:cs="Arial" w:eastAsia="Arial" w:hAnsi="Arial"/>
        <w:color w:val="555555"/>
        <w:sz w:val="16"/>
        <w:szCs w:val="16"/>
      </w:rPr>
      <w:t xml:space="preserve">	Page </w:t>
    </w:r>
    <w:r>
      <w:rPr>
        <w:rFonts w:ascii="Arial" w:cs="Arial" w:eastAsia="Arial" w:hAnsi="Arial"/>
        <w:color w:val="555555"/>
        <w:sz w:val="16"/>
        <w:szCs w:val="16"/>
      </w:rPr>
      <w:fldChar w:fldCharType="begin"/>
      <w:instrText xml:space="preserve">PAGE</w:instrText>
      <w:fldChar w:fldCharType="separate"/>
      <w:fldChar w:fldCharType="end"/>
    </w:r>
    <w:r>
      <w:rPr>
        <w:rFonts w:ascii="Arial" w:cs="Arial" w:eastAsia="Arial" w:hAnsi="Arial"/>
        <w:color w:val="555555"/>
        <w:sz w:val="16"/>
        <w:szCs w:val="16"/>
      </w:rPr>
      <w:t xml:space="preserve"> of </w:t>
    </w:r>
    <w:r>
      <w:rPr>
        <w:rFonts w:ascii="Arial" w:cs="Arial" w:eastAsia="Arial" w:hAnsi="Arial"/>
        <w:color w:val="5555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962E" w:sz="4" w:space="4"/>
      </w:pBdr>
      <w:tabs>
        <w:tab w:val="right" w:pos="9026"/>
      </w:tabs>
    </w:pPr>
    <w:r>
      <w:rPr>
        <w:rFonts w:ascii="Arial" w:cs="Arial" w:eastAsia="Arial" w:hAnsi="Arial"/>
        <w:b/>
        <w:bCs/>
        <w:color w:val="B8962E"/>
        <w:sz w:val="18"/>
        <w:szCs w:val="18"/>
      </w:rPr>
      <w:t xml:space="preserve">LEGACY WEALTH REALTY LLC</w:t>
    </w:r>
    <w:r>
      <w:rPr>
        <w:rFonts w:ascii="Arial" w:cs="Arial" w:eastAsia="Arial" w:hAnsi="Arial"/>
      </w:rPr>
      <w:t xml:space="preserve">	</w:t>
    </w:r>
    <w:r>
      <w:rPr>
        <w:rFonts w:ascii="Arial" w:cs="Arial" w:eastAsia="Arial" w:hAnsi="Arial"/>
        <w:i/>
        <w:iCs/>
        <w:color w:val="555555"/>
        <w:sz w:val="18"/>
        <w:szCs w:val="18"/>
      </w:rPr>
      <w:t xml:space="preserve">Independent Contractor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2026-07-19T18:20:17.842Z</dcterms:created>
  <dcterms:modified xsi:type="dcterms:W3CDTF">2026-07-19T18:20:17.845Z</dcterms:modified>
</cp:coreProperties>
</file>

<file path=docProps/custom.xml><?xml version="1.0" encoding="utf-8"?>
<Properties xmlns="http://schemas.openxmlformats.org/officeDocument/2006/custom-properties" xmlns:vt="http://schemas.openxmlformats.org/officeDocument/2006/docPropsVTypes"/>
</file>